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我国私法规则的形成  以财产制度为核心</w:t>
      </w:r>
    </w:p>
    <w:p>
      <w:r>
        <w:rPr>
          <w:rFonts w:ascii="宋体" w:hAnsi="宋体" w:eastAsia="宋体"/>
          <w:sz w:val="24"/>
        </w:rPr>
        <w:t>高富平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我国私法规则的形成  以财产制度为核心</w:t>
            </w:r>
          </w:p>
        </w:tc>
      </w:tr>
      <w:tr>
        <w:tc>
          <w:tcPr>
            <w:tcW w:type="dxa" w:w="4320"/>
          </w:tcPr>
          <w:p>
            <w:r>
              <w:t>作者</w:t>
            </w:r>
          </w:p>
        </w:tc>
        <w:tc>
          <w:tcPr>
            <w:tcW w:type="dxa" w:w="4320"/>
          </w:tcPr>
          <w:p>
            <w:r>
              <w:t>高富平</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9787519714628</w:t>
            </w:r>
          </w:p>
        </w:tc>
      </w:tr>
      <w:tr>
        <w:tc>
          <w:tcPr>
            <w:tcW w:type="dxa" w:w="4320"/>
          </w:tcPr>
          <w:p>
            <w:r>
              <w:t>出版日期</w:t>
            </w:r>
          </w:p>
        </w:tc>
        <w:tc>
          <w:tcPr>
            <w:tcW w:type="dxa" w:w="4320"/>
          </w:tcPr>
          <w:p>
            <w:r>
              <w:t>2017-10-01</w:t>
            </w:r>
          </w:p>
        </w:tc>
      </w:tr>
      <w:tr>
        <w:tc>
          <w:tcPr>
            <w:tcW w:type="dxa" w:w="4320"/>
          </w:tcPr>
          <w:p>
            <w:r>
              <w:t>页数</w:t>
            </w:r>
          </w:p>
        </w:tc>
        <w:tc>
          <w:tcPr>
            <w:tcW w:type="dxa" w:w="4320"/>
          </w:tcPr>
          <w:p>
            <w:r>
              <w:t>408</w:t>
            </w:r>
          </w:p>
        </w:tc>
      </w:tr>
      <w:tr>
        <w:tc>
          <w:tcPr>
            <w:tcW w:type="dxa" w:w="4320"/>
          </w:tcPr>
          <w:p>
            <w:r>
              <w:t>价格</w:t>
            </w:r>
          </w:p>
        </w:tc>
        <w:tc>
          <w:tcPr>
            <w:tcW w:type="dxa" w:w="4320"/>
          </w:tcPr>
          <w:p>
            <w:r/>
          </w:p>
        </w:tc>
      </w:tr>
      <w:tr>
        <w:tc>
          <w:tcPr>
            <w:tcW w:type="dxa" w:w="4320"/>
          </w:tcPr>
          <w:p>
            <w:r>
              <w:t>关键词</w:t>
            </w:r>
          </w:p>
        </w:tc>
        <w:tc>
          <w:tcPr>
            <w:tcW w:type="dxa" w:w="4320"/>
          </w:tcPr>
          <w:p>
            <w:r>
              <w:t>财产权－中国－文集</w:t>
            </w:r>
          </w:p>
        </w:tc>
      </w:tr>
      <w:tr>
        <w:tc>
          <w:tcPr>
            <w:tcW w:type="dxa" w:w="4320"/>
          </w:tcPr>
          <w:p>
            <w:r>
              <w:t>分类</w:t>
            </w:r>
          </w:p>
        </w:tc>
        <w:tc>
          <w:tcPr>
            <w:tcW w:type="dxa" w:w="4320"/>
          </w:tcPr>
          <w:p>
            <w:r>
              <w:t>民法</w:t>
            </w:r>
          </w:p>
        </w:tc>
      </w:tr>
    </w:tbl>
    <w:p/>
    <w:p>
      <w:pPr>
        <w:pStyle w:val="Heading1"/>
      </w:pPr>
      <w:r>
        <w:t>图书介绍</w:t>
      </w:r>
    </w:p>
    <w:p>
      <w:r>
        <w:t>《我国私法规则的形成：以财产制度为核心》是作者探索我国公有制下财产私法化的路径，回应我国民法典创制全面统一的财产法规则的困境的各类论文的合集。</w:t>
      </w:r>
    </w:p>
    <w:p/>
    <w:p>
      <w:r>
        <w:t>本书出售、求购地址：https://www.jiaokey.com/book/detail/14331211.html</w:t>
      </w:r>
    </w:p>
    <w:p>
      <w:r>
        <w:t>更多民法图书推荐：https://www.jiaokey.com</w:t>
      </w:r>
    </w:p>
    <w:p>
      <w:r>
        <w:t>高富平 其他作品：https://www.jiaokey.com/tag/高富平.html</w:t>
      </w:r>
    </w:p>
    <w:p>
      <w:r>
        <w:t>北京：法律出版社 出版图书：https://www.jiaokey.com/tag/北京：法律出版社.html</w:t>
      </w:r>
    </w:p>
    <w:p>
      <w:r>
        <w:t>关键词搜索：https://www.jiaokey.com/tag/财产权－中国－文集.html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