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营业税改征增值税会计操作与纳税筹划</w:t>
      </w:r>
    </w:p>
    <w:p>
      <w:r>
        <w:rPr>
          <w:rFonts w:ascii="宋体" w:hAnsi="宋体" w:eastAsia="宋体"/>
          <w:sz w:val="24"/>
        </w:rPr>
        <w:t>董学秀，赵朝生编著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营业税改征增值税会计操作与纳税筹划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董学秀，赵朝生编著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本书出售、求购地址：https://www.jiaokey.com/book/detail/14330544.html</w:t>
      </w:r>
    </w:p>
    <w:p>
      <w:r>
        <w:t>更多相关图书推荐：https://www.jiaokey.com</w:t>
      </w:r>
    </w:p>
    <w:p>
      <w:r>
        <w:t>董学秀，赵朝生编著 其他作品：https://www.jiaokey.com/tag/董学秀，赵朝生编著.html</w:t>
      </w:r>
    </w:p>
    <w:p>
      <w:r>
        <w:t>国际行政学院出版社 出版图书：https://www.jiaokey.com/tag/国际行政学院出版社.html</w:t>
      </w:r>
    </w:p>
    <w:p>
      <w:r>
        <w:t>关键词搜索：https://www.jiaokey.com/tag/营业税改征增值税会计操作与纳税筹划.html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