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庄子成语故事</w:t>
      </w:r>
    </w:p>
    <w:p>
      <w:r>
        <w:rPr>
          <w:rFonts w:ascii="宋体" w:hAnsi="宋体" w:eastAsia="宋体"/>
          <w:sz w:val="24"/>
        </w:rPr>
        <w:t>锦传明策划；王贵生文字；唐瑞超绘画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锦传明策划；王贵生文字；唐瑞超绘画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民权县文化广电旅游局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本书出售、求购地址：https://www.jiaokey.com/book/detail/14329769.html</w:t>
      </w:r>
    </w:p>
    <w:p>
      <w:r>
        <w:t>更多相关图书推荐：https://www.jiaokey.com</w:t>
      </w:r>
    </w:p>
    <w:p>
      <w:r>
        <w:t>锦传明策划；王贵生文字；唐瑞超绘画 其他作品：https://www.jiaokey.com/tag/锦传明策划；王贵生文字；唐瑞超绘画.html</w:t>
      </w:r>
    </w:p>
    <w:p>
      <w:r>
        <w:t>民权县文化广电旅游局 出版图书：https://www.jiaokey.com/tag/民权县文化广电旅游局.html</w:t>
      </w:r>
    </w:p>
    <w:p>
      <w:r>
        <w:t>关键词搜索：https://www.jiaokey.com/tag/庄子成语故事.html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