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数域的上同调</w:t>
      </w:r>
    </w:p>
    <w:p>
      <w:r>
        <w:rPr>
          <w:rFonts w:ascii="宋体" w:hAnsi="宋体" w:eastAsia="宋体"/>
          <w:sz w:val="24"/>
        </w:rPr>
        <w:t>（德）尤尔根·诺伊基希，亚历山大·施密特，凯·温伯格著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数域的上同调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（德）尤尔根·诺伊基希，亚历山大·施密特，凯·温伯格著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本书出售、求购地址：https://www.jiaokey.com/book/detail/14328093.html</w:t>
      </w:r>
    </w:p>
    <w:p>
      <w:r>
        <w:t>更多相关图书推荐：https://www.jiaokey.com</w:t>
      </w:r>
    </w:p>
    <w:p>
      <w:r>
        <w:t>（德）尤尔根·诺伊基希，亚历山大·施密特，凯·温伯格著 其他作品：https://www.jiaokey.com/tag/（德）尤尔根·诺伊基希，亚历山大·施密特，凯·温伯格著.html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关键词搜索：https://www.jiaokey.com/tag/数域的上同调.html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