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父亲节</w:t>
      </w:r>
    </w:p>
    <w:p>
      <w:r>
        <w:rPr>
          <w:rFonts w:ascii="宋体" w:hAnsi="宋体" w:eastAsia="宋体"/>
          <w:sz w:val="24"/>
        </w:rPr>
        <w:t>王燕参策划；胡颂茵责任编辑；野人绘画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王燕参策划；胡颂茵责任编辑；野人绘画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本书出售、求购地址：https://www.jiaokey.com/book/detail/14327046.html</w:t>
      </w:r>
    </w:p>
    <w:p>
      <w:r>
        <w:t>更多相关图书推荐：https://www.jiaokey.com</w:t>
      </w:r>
    </w:p>
    <w:p>
      <w:r>
        <w:t>王燕参策划；胡颂茵责任编辑；野人绘画 其他作品：https://www.jiaokey.com/tag/王燕参策划；胡颂茵责任编辑；野人绘画.html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关键词搜索：https://www.jiaokey.com/tag/父亲节.html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