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迈向强富美高  江阴撤县建市30年的塔索与实践</w:t>
      </w:r>
    </w:p>
    <w:p>
      <w:r>
        <w:rPr>
          <w:rFonts w:ascii="宋体" w:hAnsi="宋体" w:eastAsia="宋体"/>
          <w:sz w:val="24"/>
        </w:rPr>
        <w:t>《迈向强富美高，江阴撤县建市30年的塔索与实践》编委会编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迈向强富美高  江阴撤县建市30年的塔索与实践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《迈向强富美高，江阴撤县建市30年的塔索与实践》编委会编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本书出售、求购地址：https://www.jiaokey.com/book/detail/14326319.html</w:t>
      </w:r>
    </w:p>
    <w:p>
      <w:r>
        <w:t>更多相关图书推荐：https://www.jiaokey.com</w:t>
      </w:r>
    </w:p>
    <w:p>
      <w:r>
        <w:t>《迈向强富美高，江阴撤县建市30年的塔索与实践》编委会编 其他作品：https://www.jiaokey.com/tag/《迈向强富美高，江阴撤县建市30年的塔索与实践》编委会编.html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关键词搜索：https://www.jiaokey.com/tag/迈向强富美高  江阴撤县建市30年的塔索与实践.html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