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江苏省房屋修缮工程预算定额  第2册  安装工程</w:t>
      </w:r>
    </w:p>
    <w:p>
      <w:r>
        <w:rPr>
          <w:rFonts w:ascii="宋体" w:hAnsi="宋体" w:eastAsia="宋体"/>
          <w:sz w:val="24"/>
        </w:rPr>
        <w:t>江苏省建设委员会编制；曹良春主编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江苏省房屋修缮工程预算定额  第2册  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江苏省建设委员会编制；曹良春主编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本书出售、求购地址：https://www.jiaokey.com/book/detail/14326210.html</w:t>
      </w:r>
    </w:p>
    <w:p>
      <w:r>
        <w:t>更多相关图书推荐：https://www.jiaokey.com</w:t>
      </w:r>
    </w:p>
    <w:p>
      <w:r>
        <w:t>江苏省建设委员会编制；曹良春主编 其他作品：https://www.jiaokey.com/tag/江苏省建设委员会编制；曹良春主编.html</w:t>
      </w:r>
    </w:p>
    <w:p>
      <w:r>
        <w:t>江苏省建设委员会 出版图书：https://www.jiaokey.com/tag/江苏省建设委员会.html</w:t>
      </w:r>
    </w:p>
    <w:p>
      <w:r>
        <w:t>关键词搜索：https://www.jiaokey.com/tag/江苏省房屋修缮工程预算定额  第2册  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