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中国刑事非法证据排除击剑则的立法典实践</w:t>
      </w:r>
    </w:p>
    <w:p>
      <w:r>
        <w:rPr>
          <w:rFonts w:ascii="宋体" w:hAnsi="宋体" w:eastAsia="宋体"/>
          <w:sz w:val="24"/>
        </w:rPr>
        <w:t>田毅平著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中国刑事非法证据排除击剑则的立法典实践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本书出售、求购地址：https://www.jiaokey.com/book/detail/14325271.html</w:t>
      </w:r>
    </w:p>
    <w:p>
      <w:r>
        <w:t>更多相关图书推荐：https://www.jiaokey.com</w:t>
      </w:r>
    </w:p>
    <w:p>
      <w:r>
        <w:t>田毅平著 其他作品：https://www.jiaokey.com/tag/田毅平著.html</w:t>
      </w:r>
    </w:p>
    <w:p>
      <w:r>
        <w:t>山阵出版社 出版图书：https://www.jiaokey.com/tag/山阵出版社.html</w:t>
      </w:r>
    </w:p>
    <w:p>
      <w:r>
        <w:t>关键词搜索：https://www.jiaokey.com/tag/中国刑事非法证据排除击剑则的立法典实践.html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