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城镇化背景下区域基础教育高位均衡发展研究  郑州市二七区的实践探索及模式构建</w:t>
      </w:r>
    </w:p>
    <w:p>
      <w:r>
        <w:rPr>
          <w:rFonts w:ascii="宋体" w:hAnsi="宋体" w:eastAsia="宋体"/>
          <w:sz w:val="24"/>
        </w:rPr>
        <w:t>刘志军，刘子科等著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城镇化背景下区域基础教育高位均衡发展研究  郑州市二七区的实践探索及模式构建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刘志军，刘子科等著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本书出售、求购地址：https://www.jiaokey.com/book/detail/14320373.html</w:t>
      </w:r>
    </w:p>
    <w:p>
      <w:r>
        <w:t>更多相关图书推荐：https://www.jiaokey.com</w:t>
      </w:r>
    </w:p>
    <w:p>
      <w:r>
        <w:t>刘志军，刘子科等著 其他作品：https://www.jiaokey.com/tag/刘志军，刘子科等著.html</w:t>
      </w:r>
    </w:p>
    <w:p>
      <w:r>
        <w:t>教育科学出版社 出版图书：https://www.jiaokey.com/tag/教育科学出版社.html</w:t>
      </w:r>
    </w:p>
    <w:p>
      <w:r>
        <w:t>关键词搜索：https://www.jiaokey.com/tag/城镇化背景下区域基础教育高位均衡发展研究  郑州市二七区的实践探索及模式构建.html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