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飞腾直欲天台去  徐霞客首游天台山原因</w:t>
      </w:r>
    </w:p>
    <w:p>
      <w:r>
        <w:rPr>
          <w:rFonts w:ascii="宋体" w:hAnsi="宋体" w:eastAsia="宋体"/>
          <w:sz w:val="24"/>
        </w:rPr>
        <w:t>徐永恩编著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飞腾直欲天台去  徐霞客首游天台山原因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本书出售、求购地址：https://www.jiaokey.com/book/detail/14318402.html</w:t>
      </w:r>
    </w:p>
    <w:p>
      <w:r>
        <w:t>更多相关图书推荐：https://www.jiaokey.com</w:t>
      </w:r>
    </w:p>
    <w:p>
      <w:r>
        <w:t>徐永恩编著 其他作品：https://www.jiaokey.com/tag/徐永恩编著.html</w:t>
      </w:r>
    </w:p>
    <w:p>
      <w:r>
        <w:t>中国艺术出版社 出版图书：https://www.jiaokey.com/tag/中国艺术出版社.html</w:t>
      </w:r>
    </w:p>
    <w:p>
      <w:r>
        <w:t>关键词搜索：https://www.jiaokey.com/tag/飞腾直欲天台去  徐霞客首游天台山原因.html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