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火电厂热控专业规程解读</w:t>
      </w:r>
    </w:p>
    <w:p>
      <w:r>
        <w:rPr>
          <w:rFonts w:ascii="宋体" w:hAnsi="宋体" w:eastAsia="宋体"/>
          <w:sz w:val="24"/>
        </w:rPr>
        <w:t>罗志浩主编；郭海峰，李法众，杨明花副主编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火电厂热控专业规程解读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罗志浩主编；郭海峰，李法众，杨明花副主编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本书出售、求购地址：https://www.jiaokey.com/book/detail/14314717.html</w:t>
      </w:r>
    </w:p>
    <w:p>
      <w:r>
        <w:t>更多相关图书推荐：https://www.jiaokey.com</w:t>
      </w:r>
    </w:p>
    <w:p>
      <w:r>
        <w:t>罗志浩主编；郭海峰，李法众，杨明花副主编 其他作品：https://www.jiaokey.com/tag/罗志浩主编；郭海峰，李法众，杨明花副主编.html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关键词搜索：https://www.jiaokey.com/tag/火电厂热控专业规程解读.html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