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  人为差错  实战指南</w:t>
      </w:r>
    </w:p>
    <w:p>
      <w:r>
        <w:rPr>
          <w:rFonts w:ascii="宋体" w:hAnsi="宋体" w:eastAsia="宋体"/>
          <w:sz w:val="24"/>
        </w:rPr>
        <w:t>（荷）西德尼·德科（SidneyDekker）著；孙佳，杨志东等译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  人为差错  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（荷）西德尼·德科（SidneyDekker）著；孙佳，杨志东等译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本书出售、求购地址：https://www.jiaokey.com/book/detail/14313059.html</w:t>
      </w:r>
    </w:p>
    <w:p>
      <w:r>
        <w:t>更多相关图书推荐：https://www.jiaokey.com</w:t>
      </w:r>
    </w:p>
    <w:p>
      <w:r>
        <w:t>（荷）西德尼·德科（SidneyDekker）著；孙佳，杨志东等译 其他作品：https://www.jiaokey.com/tag/（荷）西德尼·德科（SidneyDekker）著；孙佳，杨志东等译.html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关键词搜索：https://www.jiaokey.com/tag/理解  人为差错  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