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发展中国家的税收与国家构建</w:t>
      </w:r>
    </w:p>
    <w:p>
      <w:r>
        <w:rPr>
          <w:rFonts w:ascii="宋体" w:hAnsi="宋体" w:eastAsia="宋体"/>
          <w:sz w:val="24"/>
        </w:rPr>
        <w:t>（美）黛博拉·布罗蒂加姆，奥德-黑尔格·菲耶尔斯塔德，米克·摩尔主编；卢军坪，毛道根译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发展中国家的税收与国家构建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（美）黛博拉·布罗蒂加姆，奥德-黑尔格·菲耶尔斯塔德，米克·摩尔主编；卢军坪，毛道根译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本书出售、求购地址：https://www.jiaokey.com/book/detail/14311671.html</w:t>
      </w:r>
    </w:p>
    <w:p>
      <w:r>
        <w:t>更多相关图书推荐：https://www.jiaokey.com</w:t>
      </w:r>
    </w:p>
    <w:p>
      <w:r>
        <w:t>（美）黛博拉·布罗蒂加姆，奥德-黑尔格·菲耶尔斯塔德，米克·摩尔主编；卢军坪，毛道根译 其他作品：https://www.jiaokey.com/tag/（美）黛博拉·布罗蒂加姆，奥德-黑尔格·菲耶尔斯塔德，米克·摩尔主编；卢军坪，毛道根译.html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关键词搜索：https://www.jiaokey.com/tag/发展中国家的税收与国家构建.html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