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质感营销哲学  成城石井的不削价经营法</w:t>
      </w:r>
    </w:p>
    <w:p>
      <w:r>
        <w:rPr>
          <w:rFonts w:ascii="宋体" w:hAnsi="宋体" w:eastAsia="宋体"/>
          <w:sz w:val="24"/>
        </w:rPr>
        <w:t>上阪彻著；卫宫纮译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质感营销哲学  成城石井的不削价经营法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上阪彻著；卫宫纮译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世茂出版有限公司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本书出售、求购地址：https://www.jiaokey.com/book/detail/14310528.html</w:t>
      </w:r>
    </w:p>
    <w:p>
      <w:r>
        <w:t>更多相关图书推荐：https://www.jiaokey.com</w:t>
      </w:r>
    </w:p>
    <w:p>
      <w:r>
        <w:t>上阪彻著；卫宫纮译 其他作品：https://www.jiaokey.com/tag/上阪彻著；卫宫纮译.html</w:t>
      </w:r>
    </w:p>
    <w:p>
      <w:r>
        <w:t>世茂出版有限公司 出版图书：https://www.jiaokey.com/tag/世茂出版有限公司.html</w:t>
      </w:r>
    </w:p>
    <w:p>
      <w:r>
        <w:t>关键词搜索：https://www.jiaokey.com/tag/质感营销哲学  成城石井的不削价经营法.html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