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全球背景下的有机产品贸易合作与法律法规比较</w:t>
      </w:r>
    </w:p>
    <w:p>
      <w:r>
        <w:rPr>
          <w:rFonts w:ascii="宋体" w:hAnsi="宋体" w:eastAsia="宋体"/>
          <w:sz w:val="24"/>
        </w:rPr>
        <w:t>乔玉辉，王茂华编著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全球背景下的有机产品贸易合作与法律法规比较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乔玉辉，王茂华编著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本书出售、求购地址：https://www.jiaokey.com/book/detail/14308915.html</w:t>
      </w:r>
    </w:p>
    <w:p>
      <w:r>
        <w:t>更多相关图书推荐：https://www.jiaokey.com</w:t>
      </w:r>
    </w:p>
    <w:p>
      <w:r>
        <w:t>乔玉辉，王茂华编著 其他作品：https://www.jiaokey.com/tag/乔玉辉，王茂华编著.html</w:t>
      </w:r>
    </w:p>
    <w:p>
      <w:r>
        <w:t>北京：中国农业大学出版社 出版图书：https://www.jiaokey.com/tag/北京：中国农业大学出版社.html</w:t>
      </w:r>
    </w:p>
    <w:p>
      <w:r>
        <w:t>关键词搜索：https://www.jiaokey.com/tag/全球背景下的有机产品贸易合作与法律法规比较.html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