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知识产权保护理论与判例研究</w:t>
      </w:r>
    </w:p>
    <w:p>
      <w:r>
        <w:rPr>
          <w:rFonts w:ascii="宋体" w:hAnsi="宋体" w:eastAsia="宋体"/>
          <w:sz w:val="24"/>
        </w:rPr>
        <w:t>吕甲木，董莎，黄妙，严宁荣，杜晶著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知识产权保护理论与判例研究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吕甲木，董莎，黄妙，严宁荣，杜晶著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本书出售、求购地址：https://www.jiaokey.com/book/detail/14308792.html</w:t>
      </w:r>
    </w:p>
    <w:p>
      <w:r>
        <w:t>更多相关图书推荐：https://www.jiaokey.com</w:t>
      </w:r>
    </w:p>
    <w:p>
      <w:r>
        <w:t>吕甲木，董莎，黄妙，严宁荣，杜晶著 其他作品：https://www.jiaokey.com/tag/吕甲木，董莎，黄妙，严宁荣，杜晶著.html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关键词搜索：https://www.jiaokey.com/tag/知识产权保护理论与判例研究.html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