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这是规定  校有校规</w:t>
      </w:r>
    </w:p>
    <w:p>
      <w:r>
        <w:rPr>
          <w:rFonts w:ascii="宋体" w:hAnsi="宋体" w:eastAsia="宋体"/>
          <w:sz w:val="24"/>
        </w:rPr>
        <w:t>（法）劳伦斯·萨隆，（法）艾曼纽丽·屈埃夫著；（法）吉勒·拉帕波尔绘；余轶译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这是规定  校有校规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（法）劳伦斯·萨隆，（法）艾曼纽丽·屈埃夫著；（法）吉勒·拉帕波尔绘；余轶译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本书出售、求购地址：https://www.jiaokey.com/book/detail/14306921.html</w:t>
      </w:r>
    </w:p>
    <w:p>
      <w:r>
        <w:t>更多相关图书推荐：https://www.jiaokey.com</w:t>
      </w:r>
    </w:p>
    <w:p>
      <w:r>
        <w:t>（法）劳伦斯·萨隆，（法）艾曼纽丽·屈埃夫著；（法）吉勒·拉帕波尔绘；余轶译 其他作品：https://www.jiaokey.com/tag/（法）劳伦斯·萨隆，（法）艾曼纽丽·屈埃夫著；（法）吉勒·拉帕波尔绘；余轶译.html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关键词搜索：https://www.jiaokey.com/tag/这是规定  校有校规.html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