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竹林生态系统能量和水分平衡与碳通量特征</w:t>
      </w:r>
    </w:p>
    <w:p>
      <w:r>
        <w:rPr>
          <w:rFonts w:ascii="宋体" w:hAnsi="宋体" w:eastAsia="宋体"/>
          <w:sz w:val="24"/>
        </w:rPr>
        <w:t>江洪，周国模主编；余树全，刘玉莉，王颖等副主编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竹林生态系统能量和水分平衡与碳通量特征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江洪，周国模主编；余树全，刘玉莉，王颖等副主编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本书出售、求购地址：https://www.jiaokey.com/book/detail/14306399.html</w:t>
      </w:r>
    </w:p>
    <w:p>
      <w:r>
        <w:t>更多相关图书推荐：https://www.jiaokey.com</w:t>
      </w:r>
    </w:p>
    <w:p>
      <w:r>
        <w:t>江洪，周国模主编；余树全，刘玉莉，王颖等副主编 其他作品：https://www.jiaokey.com/tag/江洪，周国模主编；余树全，刘玉莉，王颖等副主编.html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关键词搜索：https://www.jiaokey.com/tag/竹林生态系统能量和水分平衡与碳通量特征.html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