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责任管理原理  全球本土化过程中企业的可持续发展、责任和伦理</w:t>
      </w:r>
    </w:p>
    <w:p>
      <w:r>
        <w:rPr>
          <w:rFonts w:ascii="宋体" w:hAnsi="宋体" w:eastAsia="宋体"/>
          <w:sz w:val="24"/>
        </w:rPr>
        <w:t>（德）奥利弗·拉什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责任管理原理  全球本土化过程中企业的可持续发展、责任和伦理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（德）奥利弗·拉什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本书出售、求购地址：https://www.jiaokey.com/book/detail/14305907.html</w:t>
      </w:r>
    </w:p>
    <w:p>
      <w:r>
        <w:t>更多相关图书推荐：https://www.jiaokey.com</w:t>
      </w:r>
    </w:p>
    <w:p>
      <w:r>
        <w:t>（德）奥利弗·拉什 其他作品：https://www.jiaokey.com/tag/（德）奥利弗·拉什.html</w:t>
      </w:r>
    </w:p>
    <w:p>
      <w:r>
        <w:t>关键词搜索：https://www.jiaokey.com/tag/责任管理原理  全球本土化过程中企业的可持续发展、责任和伦理.html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