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金砖国家与全球秩序的未来</w:t>
      </w:r>
    </w:p>
    <w:p>
      <w:r>
        <w:rPr>
          <w:rFonts w:ascii="宋体" w:hAnsi="宋体" w:eastAsia="宋体"/>
          <w:sz w:val="24"/>
        </w:rPr>
        <w:t>（巴西）奥利弗·施廷克尔著；钱亚平译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金砖国家与全球秩序的未来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（巴西）奥利弗·施廷克尔著；钱亚平译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本书出售、求购地址：https://www.jiaokey.com/book/detail/14305829.html</w:t>
      </w:r>
    </w:p>
    <w:p>
      <w:r>
        <w:t>更多相关图书推荐：https://www.jiaokey.com</w:t>
      </w:r>
    </w:p>
    <w:p>
      <w:r>
        <w:t>（巴西）奥利弗·施廷克尔著；钱亚平译 其他作品：https://www.jiaokey.com/tag/（巴西）奥利弗·施廷克尔著；钱亚平译.html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关键词搜索：https://www.jiaokey.com/tag/金砖国家与全球秩序的未来.html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