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Java核心API编程</w:t>
      </w:r>
    </w:p>
    <w:p>
      <w:r>
        <w:rPr>
          <w:rFonts w:ascii="宋体" w:hAnsi="宋体" w:eastAsia="宋体"/>
          <w:sz w:val="24"/>
        </w:rPr>
        <w:t>肖睿，禹晨，马凌主编；邢远秀，谢海波，张宇副主编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Java核心API编程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肖睿，禹晨，马凌主编；邢远秀，谢海波，张宇副主编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本书出售、求购地址：https://www.jiaokey.com/book/detail/14304702.html</w:t>
      </w:r>
    </w:p>
    <w:p>
      <w:r>
        <w:t>更多相关图书推荐：https://www.jiaokey.com</w:t>
      </w:r>
    </w:p>
    <w:p>
      <w:r>
        <w:t>肖睿，禹晨，马凌主编；邢远秀，谢海波，张宇副主编 其他作品：https://www.jiaokey.com/tag/肖睿，禹晨，马凌主编；邢远秀，谢海波，张宇副主编.html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关键词搜索：https://www.jiaokey.com/tag/Java核心API编程.html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