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玉米高产其实很简单</w:t>
      </w:r>
    </w:p>
    <w:p>
      <w:r>
        <w:rPr>
          <w:rFonts w:ascii="宋体" w:hAnsi="宋体" w:eastAsia="宋体"/>
          <w:sz w:val="24"/>
        </w:rPr>
        <w:t>王军，裴军霞，许秀主编；陈志，黎玉华，陆俊吉副主编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玉米高产其实很简单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王军，裴军霞，许秀主编；陈志，黎玉华，陆俊吉副主编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本书出售、求购地址：https://www.jiaokey.com/book/detail/14302579.html</w:t>
      </w:r>
    </w:p>
    <w:p>
      <w:r>
        <w:t>更多相关图书推荐：https://www.jiaokey.com</w:t>
      </w:r>
    </w:p>
    <w:p>
      <w:r>
        <w:t>王军，裴军霞，许秀主编；陈志，黎玉华，陆俊吉副主编 其他作品：https://www.jiaokey.com/tag/王军，裴军霞，许秀主编；陈志，黎玉华，陆俊吉副主编.html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关键词搜索：https://www.jiaokey.com/tag/玉米高产其实很简单.html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