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赤水河流域生态补偿技术研究</w:t>
      </w:r>
    </w:p>
    <w:p>
      <w:r>
        <w:rPr>
          <w:rFonts w:ascii="宋体" w:hAnsi="宋体" w:eastAsia="宋体"/>
          <w:sz w:val="24"/>
        </w:rPr>
        <w:t>黄薇，李浩，尹正杰编著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赤水河流域生态补偿技术研究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黄薇，李浩，尹正杰编著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本书出售、求购地址：https://www.jiaokey.com/book/detail/14302544.html</w:t>
      </w:r>
    </w:p>
    <w:p>
      <w:r>
        <w:t>更多相关图书推荐：https://www.jiaokey.com</w:t>
      </w:r>
    </w:p>
    <w:p>
      <w:r>
        <w:t>黄薇，李浩，尹正杰编著 其他作品：https://www.jiaokey.com/tag/黄薇，李浩，尹正杰编著.html</w:t>
      </w:r>
    </w:p>
    <w:p>
      <w:r>
        <w:t>武汉：长江出版社 出版图书：https://www.jiaokey.com/tag/武汉：长江出版社.html</w:t>
      </w:r>
    </w:p>
    <w:p>
      <w:r>
        <w:t>关键词搜索：https://www.jiaokey.com/tag/赤水河流域生态补偿技术研究.html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