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普通高等职业教育“十一五”规划教材  大学生职业发展与就业指导</w:t>
      </w:r>
    </w:p>
    <w:p>
      <w:r>
        <w:rPr>
          <w:rFonts w:ascii="宋体" w:hAnsi="宋体" w:eastAsia="宋体"/>
          <w:sz w:val="24"/>
        </w:rPr>
        <w:t>李菊顺主编；石超明，李际轩，郭志娟副主编；莫仕锋，莫运深主审；高茹，吴东阳，黄杰编委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普通高等职业教育“十一五”规划教材  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李菊顺主编；石超明，李际轩，郭志娟副主编；莫仕锋，莫运深主审；高茹，吴东阳，黄杰编委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本书出售、求购地址：https://www.jiaokey.com/book/detail/14299023.html</w:t>
      </w:r>
    </w:p>
    <w:p>
      <w:r>
        <w:t>更多相关图书推荐：https://www.jiaokey.com</w:t>
      </w:r>
    </w:p>
    <w:p>
      <w:r>
        <w:t>李菊顺主编；石超明，李际轩，郭志娟副主编；莫仕锋，莫运深主审；高茹，吴东阳，黄杰编委 其他作品：https://www.jiaokey.com/tag/李菊顺主编；石超明，李际轩，郭志娟副主编；莫仕锋，莫运深主审；高茹，吴东阳，黄杰编委.html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关键词搜索：https://www.jiaokey.com/tag/普通高等职业教育“十一五”规划教材  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