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Flux架构</w:t>
      </w:r>
    </w:p>
    <w:p>
      <w:r>
        <w:rPr>
          <w:rFonts w:ascii="宋体" w:hAnsi="宋体" w:eastAsia="宋体"/>
          <w:sz w:val="24"/>
        </w:rPr>
        <w:t>（加）亚当·博达哈（AdamBoduch）著；段金辰等译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Flux架构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（加）亚当·博达哈（AdamBoduch）著；段金辰等译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本书出售、求购地址：https://www.jiaokey.com/book/detail/14298419.html</w:t>
      </w:r>
    </w:p>
    <w:p>
      <w:r>
        <w:t>更多相关图书推荐：https://www.jiaokey.com</w:t>
      </w:r>
    </w:p>
    <w:p>
      <w:r>
        <w:t>（加）亚当·博达哈（AdamBoduch）著；段金辰等译 其他作品：https://www.jiaokey.com/tag/（加）亚当·博达哈（AdamBoduch）著；段金辰等译.html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关键词搜索：https://www.jiaokey.com/tag/Flux架构.html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