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铁路隧道概率极限状态设计方法及应用</w:t>
      </w:r>
    </w:p>
    <w:p>
      <w:r>
        <w:rPr>
          <w:rFonts w:ascii="宋体" w:hAnsi="宋体" w:eastAsia="宋体"/>
          <w:sz w:val="24"/>
        </w:rPr>
        <w:t>喻渝，赵东平，路军富，谭信荣著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铁路隧道概率极限状态设计方法及应用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喻渝，赵东平，路军富，谭信荣著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本书出售、求购地址：https://www.jiaokey.com/book/detail/14298302.html</w:t>
      </w:r>
    </w:p>
    <w:p>
      <w:r>
        <w:t>更多相关图书推荐：https://www.jiaokey.com</w:t>
      </w:r>
    </w:p>
    <w:p>
      <w:r>
        <w:t>喻渝，赵东平，路军富，谭信荣著 其他作品：https://www.jiaokey.com/tag/喻渝，赵东平，路军富，谭信荣著.html</w:t>
      </w:r>
    </w:p>
    <w:p>
      <w:r>
        <w:t>人民交通出版社股份有限 出版图书：https://www.jiaokey.com/tag/人民交通出版社股份有限.html</w:t>
      </w:r>
    </w:p>
    <w:p>
      <w:r>
        <w:t>关键词搜索：https://www.jiaokey.com/tag/铁路隧道概率极限状态设计方法及应用.html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