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赤峰人物  巴林左旗分卷</w:t>
      </w:r>
    </w:p>
    <w:p>
      <w:r>
        <w:rPr>
          <w:rFonts w:ascii="宋体" w:hAnsi="宋体" w:eastAsia="宋体"/>
          <w:sz w:val="24"/>
        </w:rPr>
        <w:t>王玉亭主编；包凤堂，孙国军，格日乐园副主编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赤峰人物  巴林左旗分卷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王玉亭主编；包凤堂，孙国军，格日乐园副主编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政协巴林旗委员会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本书出售、求购地址：https://www.jiaokey.com/book/detail/14296660.html</w:t>
      </w:r>
    </w:p>
    <w:p>
      <w:r>
        <w:t>更多相关图书推荐：https://www.jiaokey.com</w:t>
      </w:r>
    </w:p>
    <w:p>
      <w:r>
        <w:t>王玉亭主编；包凤堂，孙国军，格日乐园副主编 其他作品：https://www.jiaokey.com/tag/王玉亭主编；包凤堂，孙国军，格日乐园副主编.html</w:t>
      </w:r>
    </w:p>
    <w:p>
      <w:r>
        <w:t>政协巴林旗委员会 出版图书：https://www.jiaokey.com/tag/政协巴林旗委员会.html</w:t>
      </w:r>
    </w:p>
    <w:p>
      <w:r>
        <w:t>关键词搜索：https://www.jiaokey.com/tag/赤峰人物  巴林左旗分卷.html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