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国家治理体制现代化  税收法定  预算法修改与预算法定</w:t>
      </w:r>
    </w:p>
    <w:p>
      <w:r>
        <w:rPr>
          <w:rFonts w:ascii="宋体" w:hAnsi="宋体" w:eastAsia="宋体"/>
          <w:sz w:val="24"/>
        </w:rPr>
        <w:t>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国家治理体制现代化  税收法定  预算法修改与预算法定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本书出售、求购地址：https://www.jiaokey.com/book/detail/14294126.html</w:t>
      </w:r>
    </w:p>
    <w:p>
      <w:r>
        <w:t>更多相关图书推荐：https://www.jiaokey.com</w:t>
      </w:r>
    </w:p>
    <w:p>
      <w:r>
        <w:t>韦森著 其他作品：https://www.jiaokey.com/tag/韦森著.html</w:t>
      </w:r>
    </w:p>
    <w:p>
      <w:r>
        <w:t>关键词搜索：https://www.jiaokey.com/tag/国家治理体制现代化  税收法定  预算法修改与预算法定.html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