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数字逻辑设计与计算机组成</w:t>
      </w:r>
    </w:p>
    <w:p>
      <w:r>
        <w:rPr>
          <w:rFonts w:ascii="宋体" w:hAnsi="宋体" w:eastAsia="宋体"/>
          <w:sz w:val="24"/>
        </w:rPr>
        <w:t>（美）尼克罗斯·法拉菲著；戴志涛，张通，黄梦凡，徐继彬等译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数字逻辑设计与计算机组成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（美）尼克罗斯·法拉菲著；戴志涛，张通，黄梦凡，徐继彬等译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本书出售、求购地址：https://www.jiaokey.com/book/detail/14291840.html</w:t>
      </w:r>
    </w:p>
    <w:p>
      <w:r>
        <w:t>更多相关图书推荐：https://www.jiaokey.com</w:t>
      </w:r>
    </w:p>
    <w:p>
      <w:r>
        <w:t>（美）尼克罗斯·法拉菲著；戴志涛，张通，黄梦凡，徐继彬等译 其他作品：https://www.jiaokey.com/tag/（美）尼克罗斯·法拉菲著；戴志涛，张通，黄梦凡，徐继彬等译.html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数字逻辑设计与计算机组成.html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