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广告法案例精解</w:t>
      </w:r>
    </w:p>
    <w:p>
      <w:r>
        <w:rPr>
          <w:rFonts w:ascii="宋体" w:hAnsi="宋体" w:eastAsia="宋体"/>
          <w:sz w:val="24"/>
        </w:rPr>
        <w:t>何茂斌主编；何茂斌，曾昭旺，严蔚兰，马明，缪恩，景卫东等编著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何茂斌主编；何茂斌，曾昭旺，严蔚兰，马明，缪恩，景卫东等编著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本书出售、求购地址：https://www.jiaokey.com/book/detail/14284386.html</w:t>
      </w:r>
    </w:p>
    <w:p>
      <w:r>
        <w:t>更多相关图书推荐：https://www.jiaokey.com</w:t>
      </w:r>
    </w:p>
    <w:p>
      <w:r>
        <w:t>何茂斌主编；何茂斌，曾昭旺，严蔚兰，马明，缪恩，景卫东等编著 其他作品：https://www.jiaokey.com/tag/何茂斌主编；何茂斌，曾昭旺，严蔚兰，马明，缪恩，景卫东等编著.html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关键词搜索：https://www.jiaokey.com/tag/广告法案例精解.html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