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经济法原理与实务</w:t>
      </w:r>
    </w:p>
    <w:p>
      <w:r>
        <w:rPr>
          <w:rFonts w:ascii="宋体" w:hAnsi="宋体" w:eastAsia="宋体"/>
          <w:sz w:val="24"/>
        </w:rPr>
        <w:t>谭伟君，沈宇靖主编；刘阳，富茜楠，王洪霞副主编；谭莹，杨照宇参编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谭伟君，沈宇靖主编；刘阳，富茜楠，王洪霞副主编；谭莹，杨照宇参编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本书出售、求购地址：https://www.jiaokey.com/book/detail/14284368.html</w:t>
      </w:r>
    </w:p>
    <w:p>
      <w:r>
        <w:t>更多相关图书推荐：https://www.jiaokey.com</w:t>
      </w:r>
    </w:p>
    <w:p>
      <w:r>
        <w:t>谭伟君，沈宇靖主编；刘阳，富茜楠，王洪霞副主编；谭莹，杨照宇参编 其他作品：https://www.jiaokey.com/tag/谭伟君，沈宇靖主编；刘阳，富茜楠，王洪霞副主编；谭莹，杨照宇参编.html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关键词搜索：https://www.jiaokey.com/tag/经济法原理与实务.html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