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富阳市农业局（农机局）系统行政权力法律依据  2012</w:t>
      </w:r>
    </w:p>
    <w:p>
      <w:r>
        <w:rPr>
          <w:rFonts w:ascii="宋体" w:hAnsi="宋体" w:eastAsia="宋体"/>
          <w:sz w:val="24"/>
        </w:rPr>
        <w:t>丁荣法主编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富阳市农业局（农机局）系统行政权力法律依据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本书出售、求购地址：https://www.jiaokey.com/book/detail/14283913.html</w:t>
      </w:r>
    </w:p>
    <w:p>
      <w:r>
        <w:t>更多相关图书推荐：https://www.jiaokey.com</w:t>
      </w:r>
    </w:p>
    <w:p>
      <w:r>
        <w:t>丁荣法主编 其他作品：https://www.jiaokey.com/tag/丁荣法主编.html</w:t>
      </w:r>
    </w:p>
    <w:p>
      <w:r>
        <w:t>关键词搜索：https://www.jiaokey.com/tag/富阳市农业局（农机局）系统行政权力法律依据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