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基于隐性财务资本的财务价值决策研究</w:t>
      </w:r>
    </w:p>
    <w:p>
      <w:r>
        <w:rPr>
          <w:rFonts w:ascii="宋体" w:hAnsi="宋体" w:eastAsia="宋体"/>
          <w:sz w:val="24"/>
        </w:rPr>
        <w:t>邓小军，李小华，刘庆龄，吕飞著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基于隐性财务资本的财务价值决策研究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邓小军，李小华，刘庆龄，吕飞著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本书出售、求购地址：https://www.jiaokey.com/book/detail/14283536.html</w:t>
      </w:r>
    </w:p>
    <w:p>
      <w:r>
        <w:t>更多相关图书推荐：https://www.jiaokey.com</w:t>
      </w:r>
    </w:p>
    <w:p>
      <w:r>
        <w:t>邓小军，李小华，刘庆龄，吕飞著 其他作品：https://www.jiaokey.com/tag/邓小军，李小华，刘庆龄，吕飞著.html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关键词搜索：https://www.jiaokey.com/tag/基于隐性财务资本的财务价值决策研究.html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