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英汉时文翻译教程  英汉时文翻译教程</w:t>
      </w:r>
    </w:p>
    <w:p>
      <w:r>
        <w:rPr>
          <w:rFonts w:ascii="宋体" w:hAnsi="宋体" w:eastAsia="宋体"/>
          <w:sz w:val="24"/>
        </w:rPr>
        <w:t>郭立秋，徐英，骆忠武，王红利编著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英汉时文翻译教程  英汉时文翻译教程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郭立秋，徐英，骆忠武，王红利编著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本书出售、求购地址：https://www.jiaokey.com/book/detail/14282616.html</w:t>
      </w:r>
    </w:p>
    <w:p>
      <w:r>
        <w:t>更多相关图书推荐：https://www.jiaokey.com</w:t>
      </w:r>
    </w:p>
    <w:p>
      <w:r>
        <w:t>郭立秋，徐英，骆忠武，王红利编著 其他作品：https://www.jiaokey.com/tag/郭立秋，徐英，骆忠武，王红利编著.html</w:t>
      </w:r>
    </w:p>
    <w:p>
      <w:r>
        <w:t>北京市：世界知识出版社 出版图书：https://www.jiaokey.com/tag/北京市：世界知识出版社.html</w:t>
      </w:r>
    </w:p>
    <w:p>
      <w:r>
        <w:t>关键词搜索：https://www.jiaokey.com/tag/英汉时文翻译教程  英汉时文翻译教程.html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