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俄罗斯后现代主义文学研究  理论分析与文本解读</w:t>
      </w:r>
    </w:p>
    <w:p>
      <w:r>
        <w:rPr>
          <w:rFonts w:ascii="宋体" w:hAnsi="宋体" w:eastAsia="宋体"/>
          <w:sz w:val="24"/>
        </w:rPr>
        <w:t>郑永旺等著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俄罗斯后现代主义文学研究  理论分析与文本解读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本书出售、求购地址：https://www.jiaokey.com/book/detail/14281439.html</w:t>
      </w:r>
    </w:p>
    <w:p>
      <w:r>
        <w:t>更多相关图书推荐：https://www.jiaokey.com</w:t>
      </w:r>
    </w:p>
    <w:p>
      <w:r>
        <w:t>郑永旺等著 其他作品：https://www.jiaokey.com/tag/郑永旺等著.html</w:t>
      </w:r>
    </w:p>
    <w:p>
      <w:r>
        <w:t>关键词搜索：https://www.jiaokey.com/tag/俄罗斯后现代主义文学研究  理论分析与文本解读.html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