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失地农民创业行为特征与创业培训对策</w:t>
      </w:r>
    </w:p>
    <w:p>
      <w:r>
        <w:rPr>
          <w:rFonts w:ascii="宋体" w:hAnsi="宋体" w:eastAsia="宋体"/>
          <w:sz w:val="24"/>
        </w:rPr>
        <w:t>鲍海君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失地农民创业行为特征与创业培训对策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鲍海君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本书出售、求购地址：https://www.jiaokey.com/book/detail/14280728.html</w:t>
      </w:r>
    </w:p>
    <w:p>
      <w:r>
        <w:t>更多相关图书推荐：https://www.jiaokey.com</w:t>
      </w:r>
    </w:p>
    <w:p>
      <w:r>
        <w:t>鲍海君 其他作品：https://www.jiaokey.com/tag/鲍海君.html</w:t>
      </w:r>
    </w:p>
    <w:p>
      <w:r>
        <w:t>关键词搜索：https://www.jiaokey.com/tag/失地农民创业行为特征与创业培训对策.html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