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  第2版</w:t>
      </w:r>
    </w:p>
    <w:p>
      <w:r>
        <w:rPr>
          <w:rFonts w:ascii="宋体" w:hAnsi="宋体" w:eastAsia="宋体"/>
          <w:sz w:val="24"/>
        </w:rPr>
        <w:t>中国政法大学教材编审委员会审定；张树义主编；张树义，张力，刘飞，何兵，罗智敏，刘莘编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中国政法大学教材编审委员会审定；张树义主编；张树义，张力，刘飞，何兵，罗智敏，刘莘编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本书出售、求购地址：https://www.jiaokey.com/book/detail/14279763.html</w:t>
      </w:r>
    </w:p>
    <w:p>
      <w:r>
        <w:t>更多相关图书推荐：https://www.jiaokey.com</w:t>
      </w:r>
    </w:p>
    <w:p>
      <w:r>
        <w:t>中国政法大学教材编审委员会审定；张树义主编；张树义，张力，刘飞，何兵，罗智敏，刘莘编 其他作品：https://www.jiaokey.com/tag/中国政法大学教材编审委员会审定；张树义主编；张树义，张力，刘飞，何兵，罗智敏，刘莘编.html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关键词搜索：https://www.jiaokey.com/tag/行政诉讼法学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