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ASP.NET动态网页设计实训教程</w:t>
      </w:r>
    </w:p>
    <w:p>
      <w:r>
        <w:rPr>
          <w:rFonts w:ascii="宋体" w:hAnsi="宋体" w:eastAsia="宋体"/>
          <w:sz w:val="24"/>
        </w:rPr>
        <w:t>邹同浩，陈晓明主编；刘宗妹，许学添，刘卫华，黄少荣副主编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邹同浩，陈晓明主编；刘宗妹，许学添，刘卫华，黄少荣副主编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本书出售、求购地址：https://www.jiaokey.com/book/detail/14279108.html</w:t>
      </w:r>
    </w:p>
    <w:p>
      <w:r>
        <w:t>更多相关图书推荐：https://www.jiaokey.com</w:t>
      </w:r>
    </w:p>
    <w:p>
      <w:r>
        <w:t>邹同浩，陈晓明主编；刘宗妹，许学添，刘卫华，黄少荣副主编 其他作品：https://www.jiaokey.com/tag/邹同浩，陈晓明主编；刘宗妹，许学添，刘卫华，黄少荣副主编.html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关键词搜索：https://www.jiaokey.com/tag/ASP.NET动态网页设计实训教程.html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