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《中华全国律师协会律师办理商业秘密法律业务操作指引》释解</w:t>
      </w:r>
    </w:p>
    <w:p>
      <w:r>
        <w:rPr>
          <w:rFonts w:ascii="宋体" w:hAnsi="宋体" w:eastAsia="宋体"/>
          <w:sz w:val="24"/>
        </w:rPr>
        <w:t>张黎著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《中华全国律师协会律师办理商业秘密法律业务操作指引》释解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本书出售、求购地址：https://www.jiaokey.com/book/detail/14275934.html</w:t>
      </w:r>
    </w:p>
    <w:p>
      <w:r>
        <w:t>更多相关图书推荐：https://www.jiaokey.com</w:t>
      </w:r>
    </w:p>
    <w:p>
      <w:r>
        <w:t>张黎著 其他作品：https://www.jiaokey.com/tag/张黎著.html</w:t>
      </w:r>
    </w:p>
    <w:p>
      <w:r>
        <w:t>关键词搜索：https://www.jiaokey.com/tag/《中华全国律师协会律师办理商业秘密法律业务操作指引》释解.html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