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超越营销  微博的数字商业逻辑</w:t>
      </w:r>
    </w:p>
    <w:p>
      <w:r>
        <w:rPr>
          <w:rFonts w:ascii="宋体" w:hAnsi="宋体" w:eastAsia="宋体"/>
          <w:sz w:val="24"/>
        </w:rPr>
        <w:t>陈刚，王雅娟著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超越营销  微博的数字商业逻辑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陈刚，王雅娟著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本书出售、求购地址：https://www.jiaokey.com/book/detail/14273416.html</w:t>
      </w:r>
    </w:p>
    <w:p>
      <w:r>
        <w:t>更多相关图书推荐：https://www.jiaokey.com</w:t>
      </w:r>
    </w:p>
    <w:p>
      <w:r>
        <w:t>陈刚，王雅娟著 其他作品：https://www.jiaokey.com/tag/陈刚，王雅娟著.html</w:t>
      </w:r>
    </w:p>
    <w:p>
      <w:r>
        <w:t>中国出版集团 出版图书：https://www.jiaokey.com/tag/中国出版集团.html</w:t>
      </w:r>
    </w:p>
    <w:p>
      <w:r>
        <w:t>关键词搜索：https://www.jiaokey.com/tag/超越营销  微博的数字商业逻辑.html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