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</w:t>
      </w:r>
    </w:p>
    <w:p>
      <w:r>
        <w:rPr>
          <w:rFonts w:ascii="宋体" w:hAnsi="宋体" w:eastAsia="宋体"/>
          <w:sz w:val="24"/>
        </w:rPr>
        <w:t>（阿根廷）马丁·卡帕罗斯著；侯健，夏婷婷译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（阿根廷）马丁·卡帕罗斯著；侯健，夏婷婷译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本书出售、求购地址：https://www.jiaokey.com/book/detail/14273294.html</w:t>
      </w:r>
    </w:p>
    <w:p>
      <w:r>
        <w:t>更多相关图书推荐：https://www.jiaokey.com</w:t>
      </w:r>
    </w:p>
    <w:p>
      <w:r>
        <w:t>（阿根廷）马丁·卡帕罗斯著；侯健，夏婷婷译 其他作品：https://www.jiaokey.com/tag/（阿根廷）马丁·卡帕罗斯著；侯健，夏婷婷译.html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