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数控机床加工程序编制</w:t>
      </w:r>
    </w:p>
    <w:p>
      <w:r>
        <w:rPr>
          <w:rFonts w:ascii="宋体" w:hAnsi="宋体" w:eastAsia="宋体"/>
          <w:sz w:val="24"/>
        </w:rPr>
        <w:t>顾京主编；曹旺萍，王振宇，陈洪涛参编；孙东阳，张秋菊主审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数控机床加工程序编制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顾京主编；曹旺萍，王振宇，陈洪涛参编；孙东阳，张秋菊主审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本书出售、求购地址：https://www.jiaokey.com/book/detail/14271549.html</w:t>
      </w:r>
    </w:p>
    <w:p>
      <w:r>
        <w:t>更多相关图书推荐：https://www.jiaokey.com</w:t>
      </w:r>
    </w:p>
    <w:p>
      <w:r>
        <w:t>顾京主编；曹旺萍，王振宇，陈洪涛参编；孙东阳，张秋菊主审 其他作品：https://www.jiaokey.com/tag/顾京主编；曹旺萍，王振宇，陈洪涛参编；孙东阳，张秋菊主审.html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关键词搜索：https://www.jiaokey.com/tag/数控机床加工程序编制.html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