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法国社会保障制度</w:t>
      </w:r>
    </w:p>
    <w:p>
      <w:r>
        <w:rPr>
          <w:rFonts w:ascii="宋体" w:hAnsi="宋体" w:eastAsia="宋体"/>
          <w:sz w:val="24"/>
        </w:rPr>
        <w:t>（法）弗朗西斯·凯斯勒（FrancisKessler）著；郑功成主编；于秀丽，李之群译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（法）弗朗西斯·凯斯勒（FrancisKessler）著；郑功成主编；于秀丽，李之群译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本书出售、求购地址：https://www.jiaokey.com/book/detail/14266823.html</w:t>
      </w:r>
    </w:p>
    <w:p>
      <w:r>
        <w:t>更多相关图书推荐：https://www.jiaokey.com</w:t>
      </w:r>
    </w:p>
    <w:p>
      <w:r>
        <w:t>（法）弗朗西斯·凯斯勒（FrancisKessler）著；郑功成主编；于秀丽，李之群译 其他作品：https://www.jiaokey.com/tag/（法）弗朗西斯·凯斯勒（FrancisKessler）著；郑功成主编；于秀丽，李之群译.html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关键词搜索：https://www.jiaokey.com/tag/法国社会保障制度.html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