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第2辑  儒门事亲</w:t>
      </w:r>
    </w:p>
    <w:p>
      <w:r>
        <w:rPr>
          <w:rFonts w:ascii="宋体" w:hAnsi="宋体" w:eastAsia="宋体"/>
          <w:sz w:val="24"/>
        </w:rPr>
        <w:t>张子和撰；北里研究所附属，东洋医学总和研究所，医史文献研究室编；真柳诚解说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第2辑  儒门事亲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张子和撰；北里研究所附属，东洋医学总和研究所，医史文献研究室编；真柳诚解说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本书出售、求购地址：https://www.jiaokey.com/book/detail/14260657.html</w:t>
      </w:r>
    </w:p>
    <w:p>
      <w:r>
        <w:t>更多相关图书推荐：https://www.jiaokey.com</w:t>
      </w:r>
    </w:p>
    <w:p>
      <w:r>
        <w:t>张子和撰；北里研究所附属，东洋医学总和研究所，医史文献研究室编；真柳诚解说 其他作品：https://www.jiaokey.com/tag/张子和撰；北里研究所附属，东洋医学总和研究所，医史文献研究室编；真柳诚解说.html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第2辑  儒门事亲.html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