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明清时期嘉绒藏族土司关系研究</w:t>
      </w:r>
    </w:p>
    <w:p>
      <w:r>
        <w:rPr>
          <w:rFonts w:ascii="宋体" w:hAnsi="宋体" w:eastAsia="宋体"/>
          <w:sz w:val="24"/>
        </w:rPr>
        <w:t>邹立波著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明清时期嘉绒藏族土司关系研究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哲学宗教与社会学出版中心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本书出售、求购地址：https://www.jiaokey.com/book/detail/14258312.html</w:t>
      </w:r>
    </w:p>
    <w:p>
      <w:r>
        <w:t>更多相关图书推荐：https://www.jiaokey.com</w:t>
      </w:r>
    </w:p>
    <w:p>
      <w:r>
        <w:t>邹立波著 其他作品：https://www.jiaokey.com/tag/邹立波著.html</w:t>
      </w:r>
    </w:p>
    <w:p>
      <w:r>
        <w:t>哲学宗教与社会学出版中心 出版图书：https://www.jiaokey.com/tag/哲学宗教与社会学出版中心.html</w:t>
      </w:r>
    </w:p>
    <w:p>
      <w:r>
        <w:t>关键词搜索：https://www.jiaokey.com/tag/明清时期嘉绒藏族土司关系研究.html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