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3-5岁儿童自我调节各成分与其心理理论发展水平的关系</w:t>
      </w:r>
    </w:p>
    <w:p>
      <w:r>
        <w:rPr>
          <w:rFonts w:ascii="宋体" w:hAnsi="宋体" w:eastAsia="宋体"/>
          <w:sz w:val="24"/>
        </w:rPr>
        <w:t>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3-5岁儿童自我调节各成分与其心理理论发展水平的关系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历史与考古出版中心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本书出售、求购地址：https://www.jiaokey.com/book/detail/14258303.html</w:t>
      </w:r>
    </w:p>
    <w:p>
      <w:r>
        <w:t>更多相关图书推荐：https://www.jiaokey.com</w:t>
      </w:r>
    </w:p>
    <w:p>
      <w:r>
        <w:t>王元著 其他作品：https://www.jiaokey.com/tag/王元著.html</w:t>
      </w:r>
    </w:p>
    <w:p>
      <w:r>
        <w:t>历史与考古出版中心 出版图书：https://www.jiaokey.com/tag/历史与考古出版中心.html</w:t>
      </w:r>
    </w:p>
    <w:p>
      <w:r>
        <w:t>关键词搜索：https://www.jiaokey.com/tag/3-5岁儿童自我调节各成分与其心理理论发展水平的关系.html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