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以公众利益规范私人补习  亚洲补习教育之政策选择</w:t>
      </w:r>
    </w:p>
    <w:p>
      <w:r>
        <w:rPr>
          <w:rFonts w:ascii="宋体" w:hAnsi="宋体" w:eastAsia="宋体"/>
          <w:sz w:val="24"/>
        </w:rPr>
        <w:t>马克·贝磊；过伟瑜著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以公众利益规范私人补习  亚洲补习教育之政策选择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马克·贝磊；过伟瑜著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中国教育培训联盟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本书出售、求购地址：https://www.jiaokey.com/book/detail/14256026.html</w:t>
      </w:r>
    </w:p>
    <w:p>
      <w:r>
        <w:t>更多相关图书推荐：https://www.jiaokey.com</w:t>
      </w:r>
    </w:p>
    <w:p>
      <w:r>
        <w:t>马克·贝磊；过伟瑜著 其他作品：https://www.jiaokey.com/tag/马克·贝磊；过伟瑜著.html</w:t>
      </w:r>
    </w:p>
    <w:p>
      <w:r>
        <w:t>中国教育培训联盟 出版图书：https://www.jiaokey.com/tag/中国教育培训联盟.html</w:t>
      </w:r>
    </w:p>
    <w:p>
      <w:r>
        <w:t>关键词搜索：https://www.jiaokey.com/tag/以公众利益规范私人补习  亚洲补习教育之政策选择.html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