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无印良品的改革  无印良品缘何复苏</w:t>
      </w:r>
    </w:p>
    <w:p>
      <w:r>
        <w:rPr>
          <w:rFonts w:ascii="宋体" w:hAnsi="宋体" w:eastAsia="宋体"/>
          <w:sz w:val="24"/>
        </w:rPr>
        <w:t>（日）渡边米英著；刘树良，张钰译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无印良品的改革  无印良品缘何复苏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（日）渡边米英著；刘树良，张钰译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本书出售、求购地址：https://www.jiaokey.com/book/detail/14255723.html</w:t>
      </w:r>
    </w:p>
    <w:p>
      <w:r>
        <w:t>更多相关图书推荐：https://www.jiaokey.com</w:t>
      </w:r>
    </w:p>
    <w:p>
      <w:r>
        <w:t>（日）渡边米英著；刘树良，张钰译 其他作品：https://www.jiaokey.com/tag/（日）渡边米英著；刘树良，张钰译.html</w:t>
      </w:r>
    </w:p>
    <w:p>
      <w:r>
        <w:t>中信出版集团 出版图书：https://www.jiaokey.com/tag/中信出版集团.html</w:t>
      </w:r>
    </w:p>
    <w:p>
      <w:r>
        <w:t>关键词搜索：https://www.jiaokey.com/tag/无印良品的改革  无印良品缘何复苏.html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