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无居民海岛立法的生态保护优先原则与制度设计</w:t>
      </w:r>
    </w:p>
    <w:p>
      <w:r>
        <w:rPr>
          <w:rFonts w:ascii="宋体" w:hAnsi="宋体" w:eastAsia="宋体"/>
          <w:sz w:val="24"/>
        </w:rPr>
        <w:t>李嵩誉著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无居民海岛立法的生态保护优先原则与制度设计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李嵩誉著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本书出售、求购地址：https://www.jiaokey.com/book/detail/14249594.html</w:t>
      </w:r>
    </w:p>
    <w:p>
      <w:r>
        <w:t>更多相关图书推荐：https://www.jiaokey.com</w:t>
      </w:r>
    </w:p>
    <w:p>
      <w:r>
        <w:t>李嵩誉著 其他作品：https://www.jiaokey.com/tag/李嵩誉著.html</w:t>
      </w:r>
    </w:p>
    <w:p>
      <w:r>
        <w:t>北京：经济科学 出版图书：https://www.jiaokey.com/tag/北京：经济科学.html</w:t>
      </w:r>
    </w:p>
    <w:p>
      <w:r>
        <w:t>关键词搜索：https://www.jiaokey.com/tag/无居民海岛立法的生态保护优先原则与制度设计.html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