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深入理解SVG</w:t>
      </w:r>
    </w:p>
    <w:p>
      <w:r>
        <w:rPr>
          <w:rFonts w:ascii="宋体" w:hAnsi="宋体" w:eastAsia="宋体"/>
          <w:sz w:val="24"/>
        </w:rPr>
        <w:t>（加）艾美利亚·拜拉梅-罗兹；（美）科特·卡戈著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深入理解SVG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（加）艾美利亚·拜拉梅-罗兹；（美）科特·卡戈著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本书出售、求购地址：https://www.jiaokey.com/book/detail/14246126.html</w:t>
      </w:r>
    </w:p>
    <w:p>
      <w:r>
        <w:t>更多相关图书推荐：https://www.jiaokey.com</w:t>
      </w:r>
    </w:p>
    <w:p>
      <w:r>
        <w:t>（加）艾美利亚·拜拉梅-罗兹；（美）科特·卡戈著 其他作品：https://www.jiaokey.com/tag/（加）艾美利亚·拜拉梅-罗兹；（美）科特·卡戈著.html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关键词搜索：https://www.jiaokey.com/tag/深入理解SVG.html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